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507FE6">
              <w:rPr>
                <w:b/>
                <w:bCs/>
                <w:color w:val="365F91" w:themeColor="accent1" w:themeShade="BF"/>
                <w:sz w:val="22"/>
                <w:szCs w:val="22"/>
              </w:rPr>
              <w:t>October 28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F4711F">
              <w:rPr>
                <w:b/>
                <w:color w:val="1F497D"/>
              </w:rPr>
              <w:t xml:space="preserve"> 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091148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="00091148">
              <w:t>Jade Christie-Maples</w:t>
            </w:r>
            <w:r w:rsidR="00F46A46" w:rsidRPr="00366D2B">
              <w:t>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091148">
            <w:pPr>
              <w:spacing w:before="120" w:after="120"/>
            </w:pPr>
            <w:r w:rsidRPr="00366D2B">
              <w:t>3:</w:t>
            </w:r>
            <w:r w:rsidR="00091148">
              <w:t>10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507FE6">
            <w:pPr>
              <w:spacing w:before="120" w:after="120"/>
            </w:pPr>
            <w:r w:rsidRPr="00366D2B">
              <w:t xml:space="preserve">Review and Approve </w:t>
            </w:r>
            <w:r w:rsidR="00507FE6">
              <w:t>September 23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A17343" w:rsidP="007C1395">
            <w:pPr>
              <w:spacing w:before="120" w:after="120"/>
            </w:pPr>
            <w:r>
              <w:t>Kathy Woods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 w:rsidP="00091148">
            <w:pPr>
              <w:spacing w:before="120" w:after="120"/>
            </w:pPr>
            <w:r w:rsidRPr="00366D2B">
              <w:t>3:</w:t>
            </w:r>
            <w:r w:rsidR="00622259">
              <w:t>1</w:t>
            </w:r>
            <w:r w:rsidR="00091148">
              <w:t>5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507FE6" w:rsidP="0031557F">
            <w:pPr>
              <w:spacing w:before="120" w:after="120"/>
            </w:pPr>
            <w:r>
              <w:t>Clinical Data  - risk discussion/problem solving </w:t>
            </w:r>
          </w:p>
        </w:tc>
        <w:tc>
          <w:tcPr>
            <w:tcW w:w="3978" w:type="dxa"/>
            <w:vAlign w:val="center"/>
          </w:tcPr>
          <w:p w:rsidR="00CB3868" w:rsidRPr="00366D2B" w:rsidRDefault="00E95204" w:rsidP="00507FE6">
            <w:pPr>
              <w:spacing w:before="120" w:after="120"/>
            </w:pPr>
            <w:r>
              <w:t>Jay Yoe</w:t>
            </w:r>
            <w:r w:rsidR="008957E7">
              <w:t xml:space="preserve">, </w:t>
            </w:r>
            <w:r w:rsidR="00507FE6">
              <w:t>Amy Wagner- OCQI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507FE6" w:rsidP="00E95204">
            <w:pPr>
              <w:spacing w:before="120" w:after="120"/>
            </w:pPr>
            <w:r>
              <w:t>3:45</w:t>
            </w:r>
            <w:r w:rsidR="00C25267">
              <w:t xml:space="preserve"> pm</w:t>
            </w:r>
          </w:p>
        </w:tc>
        <w:tc>
          <w:tcPr>
            <w:tcW w:w="4140" w:type="dxa"/>
            <w:vAlign w:val="center"/>
          </w:tcPr>
          <w:p w:rsidR="00C25267" w:rsidRPr="00366D2B" w:rsidRDefault="00507FE6" w:rsidP="00653BC3">
            <w:pPr>
              <w:spacing w:before="120" w:after="120"/>
            </w:pPr>
            <w:r>
              <w:t>Maine SIM Dashboard</w:t>
            </w:r>
            <w:r w:rsidR="005A511F">
              <w:t xml:space="preserve"> </w:t>
            </w:r>
            <w:r>
              <w:t xml:space="preserve">- </w:t>
            </w:r>
            <w:r w:rsidR="005A511F">
              <w:t>M</w:t>
            </w:r>
            <w:r w:rsidR="00653BC3">
              <w:t>aineCare</w:t>
            </w:r>
            <w:bookmarkStart w:id="0" w:name="_GoBack"/>
            <w:bookmarkEnd w:id="0"/>
            <w:r>
              <w:t xml:space="preserve"> &amp; Commercial data updates</w:t>
            </w:r>
          </w:p>
        </w:tc>
        <w:tc>
          <w:tcPr>
            <w:tcW w:w="3978" w:type="dxa"/>
            <w:vAlign w:val="center"/>
          </w:tcPr>
          <w:p w:rsidR="00C25267" w:rsidRPr="00366D2B" w:rsidRDefault="00507FE6" w:rsidP="00F65F36">
            <w:pPr>
              <w:spacing w:before="120" w:after="120"/>
            </w:pPr>
            <w:r>
              <w:t>Andy Paradis, Tanya Disney- Lewin</w:t>
            </w:r>
          </w:p>
        </w:tc>
      </w:tr>
      <w:tr w:rsidR="00A17343" w:rsidTr="00256655">
        <w:tc>
          <w:tcPr>
            <w:tcW w:w="1458" w:type="dxa"/>
            <w:vAlign w:val="center"/>
          </w:tcPr>
          <w:p w:rsidR="00A17343" w:rsidRDefault="00A17343" w:rsidP="00507FE6">
            <w:pPr>
              <w:spacing w:before="120" w:after="120"/>
            </w:pPr>
            <w:r>
              <w:t>4:1</w:t>
            </w:r>
            <w:r w:rsidR="00507FE6">
              <w:t>0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A17343" w:rsidRDefault="00507FE6" w:rsidP="00622259">
            <w:pPr>
              <w:spacing w:before="120" w:after="120"/>
            </w:pPr>
            <w:r>
              <w:t>Preview of Annual Evaluation</w:t>
            </w:r>
          </w:p>
        </w:tc>
        <w:tc>
          <w:tcPr>
            <w:tcW w:w="3978" w:type="dxa"/>
            <w:vAlign w:val="center"/>
          </w:tcPr>
          <w:p w:rsidR="00A17343" w:rsidRDefault="00507FE6" w:rsidP="00E95204">
            <w:pPr>
              <w:spacing w:before="120" w:after="120"/>
            </w:pPr>
            <w:r>
              <w:t>David Hanig, Kathy Woods- Lewin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6C3E43" w:rsidP="00507FE6">
            <w:pPr>
              <w:spacing w:before="120" w:after="120"/>
            </w:pPr>
            <w:r>
              <w:t>4:</w:t>
            </w:r>
            <w:r w:rsidR="00A17343">
              <w:t>3</w:t>
            </w:r>
            <w:r w:rsidR="00507FE6">
              <w:t>0</w:t>
            </w:r>
            <w:r w:rsidR="00A17343">
              <w:t xml:space="preserve"> </w:t>
            </w:r>
            <w:r w:rsidR="00874080" w:rsidRPr="00366D2B">
              <w:t>pm</w:t>
            </w:r>
          </w:p>
        </w:tc>
        <w:tc>
          <w:tcPr>
            <w:tcW w:w="4140" w:type="dxa"/>
            <w:vAlign w:val="center"/>
          </w:tcPr>
          <w:p w:rsidR="00874080" w:rsidRPr="00366D2B" w:rsidRDefault="00507FE6" w:rsidP="00622259">
            <w:pPr>
              <w:spacing w:before="120" w:after="120"/>
            </w:pPr>
            <w:r>
              <w:t>Prioritization of topics for further Rapid Cycle Improvement (RCI) discussions</w:t>
            </w:r>
          </w:p>
        </w:tc>
        <w:tc>
          <w:tcPr>
            <w:tcW w:w="3978" w:type="dxa"/>
            <w:vAlign w:val="center"/>
          </w:tcPr>
          <w:p w:rsidR="00874080" w:rsidRPr="00366D2B" w:rsidRDefault="00507FE6" w:rsidP="00091148">
            <w:pPr>
              <w:spacing w:before="120" w:after="120"/>
            </w:pPr>
            <w:r>
              <w:t>David Hanig, Kathy Woods- Lewin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Default="00362041" w:rsidP="00622259">
            <w:pPr>
              <w:spacing w:before="120" w:after="120"/>
            </w:pPr>
            <w:r>
              <w:t>4:</w:t>
            </w:r>
            <w:r w:rsidR="00032988">
              <w:t>5</w:t>
            </w:r>
            <w:r w:rsidR="00622259">
              <w:t>0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362041" w:rsidP="00362041">
            <w:pPr>
              <w:spacing w:before="120" w:after="120"/>
            </w:pPr>
            <w:r>
              <w:t>4:55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1.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8C" w:rsidRDefault="00F7398C" w:rsidP="005E273A">
      <w:pPr>
        <w:spacing w:after="0" w:line="240" w:lineRule="auto"/>
      </w:pPr>
      <w:r>
        <w:separator/>
      </w:r>
    </w:p>
  </w:endnote>
  <w:endnote w:type="continuationSeparator" w:id="0">
    <w:p w:rsidR="00F7398C" w:rsidRDefault="00F7398C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8C" w:rsidRDefault="00F7398C" w:rsidP="005E273A">
      <w:pPr>
        <w:spacing w:after="0" w:line="240" w:lineRule="auto"/>
      </w:pPr>
      <w:r>
        <w:separator/>
      </w:r>
    </w:p>
  </w:footnote>
  <w:footnote w:type="continuationSeparator" w:id="0">
    <w:p w:rsidR="00F7398C" w:rsidRDefault="00F7398C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32988"/>
    <w:rsid w:val="00082FCE"/>
    <w:rsid w:val="00091148"/>
    <w:rsid w:val="000F1956"/>
    <w:rsid w:val="00100EF1"/>
    <w:rsid w:val="0014387F"/>
    <w:rsid w:val="001B7907"/>
    <w:rsid w:val="001E58BD"/>
    <w:rsid w:val="00256655"/>
    <w:rsid w:val="002B5834"/>
    <w:rsid w:val="0031557F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80A5D"/>
    <w:rsid w:val="00507FE6"/>
    <w:rsid w:val="00535F3A"/>
    <w:rsid w:val="00553C6C"/>
    <w:rsid w:val="00573383"/>
    <w:rsid w:val="005A511F"/>
    <w:rsid w:val="005C4A77"/>
    <w:rsid w:val="005E273A"/>
    <w:rsid w:val="00614B69"/>
    <w:rsid w:val="0061739C"/>
    <w:rsid w:val="00622259"/>
    <w:rsid w:val="00653564"/>
    <w:rsid w:val="00653BC3"/>
    <w:rsid w:val="00684D33"/>
    <w:rsid w:val="006A097D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8957E7"/>
    <w:rsid w:val="009057C2"/>
    <w:rsid w:val="009577C6"/>
    <w:rsid w:val="00A029C3"/>
    <w:rsid w:val="00A17343"/>
    <w:rsid w:val="00A70EC6"/>
    <w:rsid w:val="00A8310E"/>
    <w:rsid w:val="00AC2CD9"/>
    <w:rsid w:val="00AC74EB"/>
    <w:rsid w:val="00AD6074"/>
    <w:rsid w:val="00B5384E"/>
    <w:rsid w:val="00B67CD5"/>
    <w:rsid w:val="00B84C94"/>
    <w:rsid w:val="00B91083"/>
    <w:rsid w:val="00BF6BE1"/>
    <w:rsid w:val="00C25267"/>
    <w:rsid w:val="00C30FB4"/>
    <w:rsid w:val="00CB3868"/>
    <w:rsid w:val="00D0188F"/>
    <w:rsid w:val="00D81888"/>
    <w:rsid w:val="00DA3B0C"/>
    <w:rsid w:val="00DB0934"/>
    <w:rsid w:val="00DB1839"/>
    <w:rsid w:val="00DD7E62"/>
    <w:rsid w:val="00DE107F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36DB-74BE-4A9C-87CF-40C853DC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5</cp:revision>
  <cp:lastPrinted>2014-12-09T20:20:00Z</cp:lastPrinted>
  <dcterms:created xsi:type="dcterms:W3CDTF">2015-10-21T10:16:00Z</dcterms:created>
  <dcterms:modified xsi:type="dcterms:W3CDTF">2015-10-22T10:27:00Z</dcterms:modified>
</cp:coreProperties>
</file>